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9ABE" w14:textId="77777777" w:rsidR="00946FE5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 xml:space="preserve">Temaaften/opsamling af KULT projektet </w:t>
      </w:r>
    </w:p>
    <w:p w14:paraId="3CC747CA" w14:textId="77777777" w:rsidR="000652BE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>med Sjørring Børnehus</w:t>
      </w:r>
    </w:p>
    <w:p w14:paraId="4419D5EB" w14:textId="77777777" w:rsidR="003D17DF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>Vi mødes i kantinen.</w:t>
      </w:r>
      <w:r w:rsidR="003D17DF"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 xml:space="preserve"> UCN Lerpyttervej 43. </w:t>
      </w:r>
    </w:p>
    <w:p w14:paraId="2E30616D" w14:textId="77777777" w:rsidR="003D17DF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>Underviser Hanne Kusk</w:t>
      </w:r>
      <w:r w:rsidR="003D17DF"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 xml:space="preserve">  </w:t>
      </w:r>
    </w:p>
    <w:p w14:paraId="11167043" w14:textId="77777777" w:rsidR="000652BE" w:rsidRPr="004B1C68" w:rsidRDefault="003D17DF" w:rsidP="003D17DF">
      <w:pPr>
        <w:spacing w:line="276" w:lineRule="auto"/>
        <w:jc w:val="both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 xml:space="preserve">                                                                                         </w:t>
      </w:r>
    </w:p>
    <w:p w14:paraId="24DD6FC4" w14:textId="77777777" w:rsidR="003D17DF" w:rsidRPr="004B1C68" w:rsidRDefault="003D17DF" w:rsidP="000652BE">
      <w:pPr>
        <w:spacing w:line="276" w:lineRule="auto"/>
        <w:jc w:val="both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>Program</w:t>
      </w:r>
    </w:p>
    <w:p w14:paraId="5E15793C" w14:textId="77777777" w:rsidR="000652BE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 xml:space="preserve">17.00 </w:t>
      </w:r>
    </w:p>
    <w:p w14:paraId="78D8D420" w14:textId="77777777" w:rsidR="000652BE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>Vi starter med lidt at spise</w:t>
      </w:r>
    </w:p>
    <w:p w14:paraId="314ECDF5" w14:textId="77777777" w:rsidR="000652BE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 xml:space="preserve">17.30 </w:t>
      </w:r>
    </w:p>
    <w:p w14:paraId="373FED12" w14:textId="77777777" w:rsidR="000652BE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 xml:space="preserve">Kort oplæg om sommerfuglemodellen </w:t>
      </w:r>
    </w:p>
    <w:p w14:paraId="2A76A6CE" w14:textId="77777777" w:rsidR="000652BE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 xml:space="preserve">17. 45 </w:t>
      </w:r>
    </w:p>
    <w:p w14:paraId="24E9E974" w14:textId="77777777" w:rsidR="000652BE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>Praktisk workshop med fokus på</w:t>
      </w:r>
    </w:p>
    <w:p w14:paraId="3CADDEF5" w14:textId="77777777" w:rsidR="000652BE" w:rsidRPr="004B1C68" w:rsidRDefault="000652BE" w:rsidP="000652BE">
      <w:pPr>
        <w:spacing w:after="0" w:line="276" w:lineRule="auto"/>
        <w:jc w:val="both"/>
        <w:rPr>
          <w:rFonts w:ascii="Bradley Hand ITC" w:hAnsi="Bradley Hand ITC"/>
          <w:b/>
          <w:color w:val="538135" w:themeColor="accent6" w:themeShade="BF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 xml:space="preserve">Venstre vinge-stemthed, impuls, igangsætning </w:t>
      </w:r>
    </w:p>
    <w:p w14:paraId="754F3258" w14:textId="77777777" w:rsidR="000652BE" w:rsidRPr="004B1C68" w:rsidRDefault="000652BE" w:rsidP="000652BE">
      <w:pPr>
        <w:spacing w:after="0" w:line="276" w:lineRule="auto"/>
        <w:jc w:val="both"/>
        <w:rPr>
          <w:rFonts w:ascii="Bradley Hand ITC" w:hAnsi="Bradley Hand ITC"/>
          <w:b/>
          <w:color w:val="538135" w:themeColor="accent6" w:themeShade="BF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>Højre vinge –fordybelse og bearbejdning, magi i hverdagen.</w:t>
      </w:r>
    </w:p>
    <w:p w14:paraId="7A4B55E6" w14:textId="77777777" w:rsidR="000652BE" w:rsidRPr="004B1C68" w:rsidRDefault="000652BE" w:rsidP="000652BE">
      <w:pPr>
        <w:spacing w:line="276" w:lineRule="auto"/>
        <w:jc w:val="both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>19.15</w:t>
      </w:r>
    </w:p>
    <w:p w14:paraId="372B432E" w14:textId="77777777" w:rsidR="000652BE" w:rsidRPr="004B1C68" w:rsidRDefault="000652BE" w:rsidP="000652BE">
      <w:pPr>
        <w:spacing w:line="276" w:lineRule="auto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 xml:space="preserve">Drøftelser af hvilke muligheder der er for kunst og kulturoplevelser som kan indgå som </w:t>
      </w:r>
    </w:p>
    <w:p w14:paraId="11BD0179" w14:textId="77777777" w:rsidR="000652BE" w:rsidRPr="004B1C68" w:rsidRDefault="000652BE" w:rsidP="000652BE">
      <w:pPr>
        <w:spacing w:line="276" w:lineRule="auto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 xml:space="preserve">sommerfuglens krop, og hvordan sommerfuglen bliver en del af hverdagen. </w:t>
      </w:r>
    </w:p>
    <w:p w14:paraId="1AEE368E" w14:textId="77777777" w:rsidR="000652BE" w:rsidRPr="004B1C68" w:rsidRDefault="000652BE" w:rsidP="000652BE">
      <w:pPr>
        <w:spacing w:line="276" w:lineRule="auto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>Netværk omkring kunst og kulturoplevelser?</w:t>
      </w:r>
    </w:p>
    <w:p w14:paraId="3FAFB6E2" w14:textId="77777777" w:rsidR="000652BE" w:rsidRPr="004B1C68" w:rsidRDefault="000652BE" w:rsidP="000652BE">
      <w:pPr>
        <w:spacing w:line="276" w:lineRule="auto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 xml:space="preserve">19.45 </w:t>
      </w:r>
    </w:p>
    <w:p w14:paraId="5307D903" w14:textId="77777777" w:rsidR="000652BE" w:rsidRPr="004B1C68" w:rsidRDefault="000652BE" w:rsidP="000652BE">
      <w:pPr>
        <w:spacing w:line="276" w:lineRule="auto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>Opsamling</w:t>
      </w:r>
    </w:p>
    <w:p w14:paraId="6F1D2AEB" w14:textId="77777777" w:rsidR="003D17DF" w:rsidRPr="004B1C68" w:rsidRDefault="000652BE" w:rsidP="000652BE">
      <w:pPr>
        <w:spacing w:line="276" w:lineRule="auto"/>
        <w:rPr>
          <w:rFonts w:ascii="Bradley Hand ITC" w:hAnsi="Bradley Hand ITC"/>
          <w:b/>
          <w:color w:val="7030A0"/>
          <w:sz w:val="24"/>
          <w:szCs w:val="24"/>
        </w:rPr>
      </w:pPr>
      <w:r w:rsidRPr="004B1C68">
        <w:rPr>
          <w:rFonts w:ascii="Bradley Hand ITC" w:hAnsi="Bradley Hand ITC"/>
          <w:b/>
          <w:color w:val="7030A0"/>
          <w:sz w:val="24"/>
          <w:szCs w:val="24"/>
        </w:rPr>
        <w:t>20.00</w:t>
      </w:r>
      <w:r w:rsidR="003D17DF" w:rsidRPr="004B1C68">
        <w:rPr>
          <w:rFonts w:ascii="Bradley Hand ITC" w:hAnsi="Bradley Hand ITC"/>
          <w:b/>
          <w:color w:val="7030A0"/>
          <w:sz w:val="24"/>
          <w:szCs w:val="24"/>
        </w:rPr>
        <w:t xml:space="preserve"> </w:t>
      </w:r>
    </w:p>
    <w:p w14:paraId="4D04699D" w14:textId="77777777" w:rsidR="003D17DF" w:rsidRPr="004B1C68" w:rsidRDefault="003D17DF" w:rsidP="000652BE">
      <w:pPr>
        <w:spacing w:line="276" w:lineRule="auto"/>
        <w:rPr>
          <w:rFonts w:ascii="Bradley Hand ITC" w:hAnsi="Bradley Hand ITC"/>
          <w:b/>
          <w:color w:val="538135" w:themeColor="accent6" w:themeShade="BF"/>
          <w:sz w:val="24"/>
          <w:szCs w:val="24"/>
        </w:rPr>
      </w:pPr>
      <w:r w:rsidRPr="004B1C68">
        <w:rPr>
          <w:rFonts w:ascii="Bradley Hand ITC" w:hAnsi="Bradley Hand ITC"/>
          <w:b/>
          <w:color w:val="538135" w:themeColor="accent6" w:themeShade="BF"/>
          <w:sz w:val="24"/>
          <w:szCs w:val="24"/>
        </w:rPr>
        <w:t>Tak for i dag</w:t>
      </w:r>
    </w:p>
    <w:p w14:paraId="3D5489C5" w14:textId="77777777" w:rsidR="003D17DF" w:rsidRDefault="003D17DF" w:rsidP="000652BE">
      <w:pPr>
        <w:spacing w:line="276" w:lineRule="auto"/>
        <w:rPr>
          <w:rFonts w:ascii="Bradley Hand ITC" w:hAnsi="Bradley Hand ITC"/>
          <w:color w:val="538135" w:themeColor="accent6" w:themeShade="BF"/>
          <w:sz w:val="24"/>
          <w:szCs w:val="24"/>
        </w:rPr>
      </w:pPr>
    </w:p>
    <w:p w14:paraId="6F362D52" w14:textId="77777777" w:rsidR="003D17DF" w:rsidRDefault="003D17DF" w:rsidP="000652BE">
      <w:pPr>
        <w:spacing w:line="276" w:lineRule="auto"/>
        <w:rPr>
          <w:rFonts w:ascii="Bradley Hand ITC" w:hAnsi="Bradley Hand ITC"/>
          <w:color w:val="538135" w:themeColor="accent6" w:themeShade="BF"/>
          <w:sz w:val="24"/>
          <w:szCs w:val="24"/>
        </w:rPr>
      </w:pPr>
      <w:bookmarkStart w:id="0" w:name="_GoBack"/>
      <w:bookmarkEnd w:id="0"/>
    </w:p>
    <w:p w14:paraId="0C758C11" w14:textId="77777777" w:rsidR="00946FE5" w:rsidRDefault="00946FE5" w:rsidP="000652BE">
      <w:pPr>
        <w:spacing w:line="276" w:lineRule="auto"/>
        <w:rPr>
          <w:rFonts w:ascii="Bradley Hand ITC" w:hAnsi="Bradley Hand ITC"/>
          <w:color w:val="538135" w:themeColor="accent6" w:themeShade="BF"/>
          <w:sz w:val="24"/>
          <w:szCs w:val="24"/>
        </w:rPr>
      </w:pPr>
    </w:p>
    <w:p w14:paraId="148B2399" w14:textId="77777777" w:rsidR="00946FE5" w:rsidRDefault="00946FE5" w:rsidP="000652BE">
      <w:pPr>
        <w:spacing w:line="276" w:lineRule="auto"/>
        <w:rPr>
          <w:rFonts w:ascii="Bradley Hand ITC" w:hAnsi="Bradley Hand ITC"/>
          <w:color w:val="538135" w:themeColor="accent6" w:themeShade="BF"/>
          <w:sz w:val="24"/>
          <w:szCs w:val="24"/>
        </w:rPr>
      </w:pPr>
    </w:p>
    <w:p w14:paraId="38E159A2" w14:textId="77777777" w:rsidR="003D17DF" w:rsidRDefault="003D17DF" w:rsidP="000652BE">
      <w:pPr>
        <w:spacing w:line="276" w:lineRule="auto"/>
        <w:rPr>
          <w:rFonts w:ascii="Bradley Hand ITC" w:hAnsi="Bradley Hand ITC"/>
          <w:color w:val="538135" w:themeColor="accent6" w:themeShade="BF"/>
          <w:sz w:val="24"/>
          <w:szCs w:val="24"/>
        </w:rPr>
      </w:pPr>
    </w:p>
    <w:p w14:paraId="38386668" w14:textId="77777777" w:rsidR="00E92608" w:rsidRPr="003D17DF" w:rsidRDefault="003D17DF" w:rsidP="003D17DF">
      <w:pPr>
        <w:rPr>
          <w:rFonts w:ascii="Bradley Hand ITC" w:hAnsi="Bradley Hand ITC"/>
          <w:color w:val="538135" w:themeColor="accent6" w:themeShade="BF"/>
        </w:rPr>
      </w:pPr>
      <w:r w:rsidRPr="003D17DF">
        <w:rPr>
          <w:rFonts w:eastAsia="Times New Roman"/>
          <w:noProof/>
          <w:color w:val="538135" w:themeColor="accent6" w:themeShade="BF"/>
          <w:lang w:eastAsia="da-DK"/>
        </w:rPr>
        <w:drawing>
          <wp:inline distT="0" distB="0" distL="0" distR="0" wp14:anchorId="66BD735A" wp14:editId="0CFF4028">
            <wp:extent cx="1991765" cy="1343706"/>
            <wp:effectExtent l="114300" t="171450" r="123190" b="180340"/>
            <wp:docPr id="1" name="Billede 1" descr="cid:7796ce2f-abaa-4ba0-b2bd-0ecc60674394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796ce2f-abaa-4ba0-b2bd-0ecc60674394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0467">
                      <a:off x="0" y="0"/>
                      <a:ext cx="2003903" cy="13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608" w:rsidRPr="003D17DF" w:rsidSect="003D17DF">
      <w:pgSz w:w="11906" w:h="16838"/>
      <w:pgMar w:top="1701" w:right="1134" w:bottom="1701" w:left="1134" w:header="708" w:footer="708" w:gutter="0"/>
      <w:cols w:num="2" w:space="708" w:equalWidth="0">
        <w:col w:w="6188" w:space="708"/>
        <w:col w:w="2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3E"/>
    <w:rsid w:val="000652BE"/>
    <w:rsid w:val="003D17DF"/>
    <w:rsid w:val="004B1C68"/>
    <w:rsid w:val="00642C42"/>
    <w:rsid w:val="007969A7"/>
    <w:rsid w:val="00946FE5"/>
    <w:rsid w:val="00E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04D8"/>
  <w15:chartTrackingRefBased/>
  <w15:docId w15:val="{2EA20CC1-A082-493D-AF37-906BCBA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52B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796ce2f-abaa-4ba0-b2bd-0ecc60674394@eurprd0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Kusk</dc:creator>
  <cp:keywords/>
  <dc:description/>
  <cp:lastModifiedBy>Bennye Düranc Austring (bau)</cp:lastModifiedBy>
  <cp:revision>4</cp:revision>
  <dcterms:created xsi:type="dcterms:W3CDTF">2017-09-28T07:30:00Z</dcterms:created>
  <dcterms:modified xsi:type="dcterms:W3CDTF">2017-10-11T07:42:00Z</dcterms:modified>
</cp:coreProperties>
</file>