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EB" w:rsidRP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32"/>
          <w:szCs w:val="32"/>
        </w:rPr>
      </w:pPr>
      <w:r w:rsidRPr="004434EB">
        <w:rPr>
          <w:rFonts w:asciiTheme="majorHAnsi" w:eastAsiaTheme="majorEastAsia" w:hAnsi="Calibri" w:cstheme="majorBidi"/>
          <w:kern w:val="24"/>
          <w:sz w:val="56"/>
          <w:szCs w:val="56"/>
        </w:rPr>
        <w:t>KULT-partnerne Absalon, UCN, UCL og Kulturprinsen takker alle for engageret deltagelse og samarbejde</w:t>
      </w:r>
      <w:r w:rsidRPr="004434EB">
        <w:rPr>
          <w:rFonts w:asciiTheme="majorHAnsi" w:eastAsiaTheme="majorEastAsia" w:hAnsi="Calibri" w:cstheme="majorBidi"/>
          <w:kern w:val="24"/>
          <w:sz w:val="56"/>
          <w:szCs w:val="56"/>
        </w:rPr>
        <w:t>!</w:t>
      </w:r>
    </w:p>
    <w:p w:rsid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</w:pPr>
    </w:p>
    <w:p w:rsidR="004434EB" w:rsidRDefault="004434EB" w:rsidP="004434EB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  <w:t>De medvirkende dagtilbud: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Holbæk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Bh. Bispehøjen og Sdr. Børnehus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Hjørring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: Bh. Albert, Bjørnen, Åge, Kingo, Ved Kilden, Horne, Lundergaard, Multiverset, Hyttefadet, Børnehuset i Tårs, Dyregården Ferdinand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Kalundborg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: Vuggestuen Toppen, Eventyrhuset og Raklev Børnehave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Odense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Den Blå Planet, Elverhøjen, Børnehuset Munkemosen og Børnecentret Trekanten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Nørresundby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: Børnehuset Fuglsang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Roskilde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Bh. Solsikken, Freja, Spirebakken, Lyngbakken, Engblommevej Bh. og Sct. Hans Gade Børnehus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Thisted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Bh. Rolighed og Sjørring Børnehus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Viborg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Bh. Tumlelunden, Søndergård, Smørhullet, Overlund Børnecenter og Rødkærsbro Børnehus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Vejle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 Bh. Grangård, Mariehønen, Mælkebøtten</w:t>
      </w:r>
    </w:p>
    <w:p w:rsid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</w:pPr>
    </w:p>
    <w:p w:rsidR="004434EB" w:rsidRDefault="004434EB" w:rsidP="004434EB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  <w:t xml:space="preserve">Orkestre, teatre, kulturinstitutioner m.v.: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Børnekulissen (Aarhus), Det NY Kastet (Thisted), Duoen Sille og Palle (København), Duoen Trut &amp; Lut (Viborg), Fyrtøjet (Odense),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Filuren (Aarhus), Galleri Æglageret (Holbæk), Give-Egnens Museum, Hjørring Bibliotekerne, Kongernes Jelling, KUNSTEN (Aalborg),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Kulturmuseet i Spinderihallerne (Vejle), Kulturtjenesten Thy, Kystfiskerimuseet (Løkken), Lindholm Høje Museet (Nørresundby),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Museet for Samtidskunst (Roskilde), Randers Egnsteater, Roskilde Bibliotek, Sct. Cathrinæ Kirke (Hjørring), Thisted Kirke, Thy Teater,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Statens Museum for Kunst (København), Teatergruppen Batida (København), Teater Åben Dans (Roskilde), Orkestret på Den Musiske Skole (Hjørring),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The Animation Workshop (Viborg), Thisted Museum, Trekanten (Aalborg), Vejle-Bibliotekerne, VejleMuseerne,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Vendsyssel Historiske Museum, Vendsyssel Kunstmuseum (Hjørring), Vendsyssel Teater (Hjørring). </w:t>
      </w:r>
    </w:p>
    <w:p w:rsid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</w:pPr>
    </w:p>
    <w:p w:rsidR="004434EB" w:rsidRDefault="004434EB" w:rsidP="004434EB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  <w:t>Kunstnere (solister):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Mariane Siem, skuespiller og dramaturg v. Børnekulissen, Aarhus, Anne Moritza Eltard, musiker og komponist, København,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Pia Mourier, skuespiller og eventkoordinator v. Vendsyssel Teater, Hjørring, Pia Plesner, skuespiller, Odense,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Inge Duelund Nielsen, forfatter, Holbæk, Mette Hegnhøj Mortensen, forfatter, Thisted, Hanne Hauer, billedkunstner, København,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Mette Rold, billedkunstner, Holbæk, Adrienne Agnew, scenograf og dukkemager, Vendsyssel, Maria Anker Jensen, danser, Hjørring,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Vigge Steincke, komponist og musiker, Aalborg, Jim Højberg, fortæller og forfatter, Vejle, Ingrid Duch, billedkunstner, Odense,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Lina Franke Hedegaard, skuespiller og kunst- og kulturformidler, Hjørring, Vibeke Nørgaard Rønsbo, skulptør og billedkunstner, Odder,</w:t>
      </w:r>
    </w:p>
    <w:p w:rsid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</w:pPr>
    </w:p>
    <w:p w:rsidR="004434EB" w:rsidRDefault="004434EB" w:rsidP="004434EB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  <w:t>Kommunale partnere: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Helle Mitzi Christiansen, pædagogisk konsulent i Roskilde, Søren Vind, børnekulturkonsulent i Kalundborg, Musikudvalget for børn og unge, Viborg Kommune,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Charlotte Vigsnæs, kulturkonsulent i Lejre, Sonja Eliassen, souschef v. Lejre Musikskole, Leif Jacobsen, kulturkonsulent i Hjørring</w:t>
      </w:r>
    </w:p>
    <w:p w:rsidR="004434EB" w:rsidRDefault="004434EB" w:rsidP="004434EB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</w:pPr>
    </w:p>
    <w:p w:rsidR="004434EB" w:rsidRDefault="004434EB" w:rsidP="004434EB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2"/>
          <w:szCs w:val="32"/>
        </w:rPr>
        <w:t>Sparrings- og samarbejdspartnere: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Michael Hansen, Statens Museum for Kunst, København, Lis Olsen, tidligere børnekulturkonsulent, Næstved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Kirsten Svensmark Møller, BMMK (Børns Møde Med Kunsten), Region Nordjylland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Mathilde W. B. de Kruiff, Museologisk pædagogik og didaktik, Professionshøjskolen København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Sissel Romme Christensen, scenograf og Huskunstner, København, Pernille Møller Taasinge, producent v. Åben Dans, Roskilde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Bettina Nielli Briand, billedkunstner, lektor v. DPU, Aarhus Universitet, Roskilde, Iben Bækkelund Jagd, Roskilde Museum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Helle Dysseholm, kulturformidler og projektleder v. Åben Dagtilbud, København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Inge Friis, Nørager Børnehave, Norddjurs, Kirsten Østergaard Rasmussen, Anholt Børnehave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Anni Nilsson, Bh. Frejas Have, Roskilde, Helle Ingerslev Kristensen, Herregårdsmuseet Gl. Estrup, Auning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lastRenderedPageBreak/>
        <w:t>Birgitte Ørum og Diana Boholm, Esbjerg Kunstmuseum, Pernille Welent Sørensen, Teatercentrum, København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Marie Laub von Lillienskjold, Vendsyssel Teater, Hjørring, Claus Carlsen, musiker, komponist og lydkunstner, Odder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Gertrud Exner, skuespiller, Fanø, Lisbet Aagaard Lykke, museumsinspektør v. Vejle Bys Museum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Mette Vibjerg Hansen, museumsinspektør v. Give-Egnens Museum, Fillip Danstrup. Museet for Samtidskunst, Roskilde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Maya Frimand Sommer, pædagogisk antropolog, Vejle, Martha Lagoni, dramaturg og lektor, UCL Jelling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Mette Vedel Kiilerich, museumsformidler v. Fyrtøjet, Odense, Mathilde Ørts Ottosen, lektor v. UCL Odense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Anna Zieler, kulturformidler og Marie Abel Hesse, pædagogisk antropolog, Børnemuseet Muserum, Roskilde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  <w:lang w:val="nn-NO"/>
        </w:rPr>
        <w:t xml:space="preserve">Kira Sawman, Formidlings- og kunstpædagog v. KUNSTEN i Aalborg, 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Bodil Ørberg, musiker, dramatiker og lektor v. Högskolan Kristianstad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Nationalt Videnscenter for Historie- og Kulturarvsformidling 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(HistorieLab):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Centerleder Peter Johan Yding Brunbech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Styrelsen for Forskning og Uddannelse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: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Fuldmægtig Silas Christensen og specialkonsulent Elise Bromann Bukhave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Børne- og Socialministeriet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: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Fuldmægtig Lise Bendix Lanng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Slots- og Kulturstyrelsen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: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Kontorchef Ole Winther, konstitueret kontorchef Lotte Bjerre Kristoffersen og 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konsulent Anne-Kristine Mortensen</w:t>
      </w:r>
    </w:p>
    <w:p w:rsidR="004434EB" w:rsidRDefault="004434EB" w:rsidP="004434EB">
      <w:pPr>
        <w:pStyle w:val="NormalWeb"/>
        <w:spacing w:before="6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6"/>
          <w:szCs w:val="26"/>
        </w:rPr>
      </w:pPr>
    </w:p>
    <w:p w:rsidR="004434EB" w:rsidRDefault="004434EB" w:rsidP="004434EB">
      <w:pPr>
        <w:pStyle w:val="NormalWeb"/>
        <w:spacing w:before="62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26"/>
          <w:szCs w:val="26"/>
        </w:rPr>
        <w:t>TAK!</w:t>
      </w:r>
    </w:p>
    <w:p w:rsidR="00F42FCE" w:rsidRDefault="00F42FCE"/>
    <w:sectPr w:rsidR="00F42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B"/>
    <w:rsid w:val="004434EB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283"/>
  <w15:chartTrackingRefBased/>
  <w15:docId w15:val="{B7EF7C8E-D6DD-417E-AA5F-6CFE845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Bennye Düranc Austring (bau)</dc:creator>
  <cp:keywords/>
  <dc:description/>
  <cp:lastModifiedBy>Bennye Düranc Austring (bau)</cp:lastModifiedBy>
  <cp:revision>1</cp:revision>
  <dcterms:created xsi:type="dcterms:W3CDTF">2018-05-25T08:00:00Z</dcterms:created>
  <dcterms:modified xsi:type="dcterms:W3CDTF">2018-05-25T08:04:00Z</dcterms:modified>
</cp:coreProperties>
</file>